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000000" w:themeColor="text1"/>
          <w:spacing w:val="-1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pacing w:val="-1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济宁市能源局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b/>
          <w:bCs/>
          <w:spacing w:val="-11"/>
          <w:sz w:val="44"/>
          <w:szCs w:val="44"/>
          <w:u w:val="none"/>
          <w:lang w:val="en-US" w:eastAsia="zh-CN"/>
        </w:rPr>
        <w:t>省黄河流域生态保护和高质量发展专项督察反馈意见（序号17）</w:t>
      </w:r>
      <w:r>
        <w:rPr>
          <w:rFonts w:hint="eastAsia" w:ascii="Times New Roman" w:hAnsi="Times New Roman" w:eastAsia="方正小标宋简体" w:cs="Times New Roman"/>
          <w:b/>
          <w:bCs/>
          <w:spacing w:val="-11"/>
          <w:sz w:val="44"/>
          <w:szCs w:val="44"/>
          <w:u w:val="none"/>
          <w:lang w:val="en-US" w:eastAsia="zh-CN"/>
        </w:rPr>
        <w:t>的自我验收报告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  <w:t>一、反馈问题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反馈问题（17）：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济宁市燃煤电厂密集，“煤电围城”问题依然突出，现有燃煤机组58台，污染物排放占全市工业污染物排放总量的57%以上，其中30万千瓦以下小机组40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台，装机台数占比达69.0%，但装机容量仅占22.1%。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  <w:t>二、整改目标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在保障电力热力稳定接续供应的前提下，扎实开展小煤电机组关停相关工作，实现煤电行业转型升级，促进绿色低碳高质量发展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u w:val="none"/>
          <w:lang w:val="en-US" w:eastAsia="zh-CN"/>
        </w:rPr>
        <w:t>三、整改措施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2019年-2022年，全市已累计关停30万千瓦以下小煤电机组44台、总装机容量118.8万千瓦。2023年再关停6台小煤电机组，装机容量60.2万千瓦。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积极推动嘉星热电解决3号机组关停后的蒸汽利用问题，确保于2023年11月底前完成设备拆除和关停验收。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推动长期停运的小煤电机组关停，推动枣矿付村矸石电厂办理1号、2号机组退运、供热替代等相关手续，按照标准拆除相关设备，确保2023年年底前完成机组关停验收。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四是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在保障电力热力稳定接续供应的前提下，持续推进煤电行业转型升级，按照省统一要求推进煤耗不达标的机组分期、分批关停退出，实现煤电装机结构全面优化、能效水平明显提高。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四、完成情况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截至目前，该项问题已完成整改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2019年-2024年，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全市已累计关停30万千瓦以下小煤电机组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60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台、总装机容量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208.2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bidi="ar"/>
        </w:rPr>
        <w:t>万千瓦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，煤电转型升级取得显著成效。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嘉星热电3号机组已于2023年11月22日通过省级关停验收。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枣矿付村矸石热电1号、2号机组已于2023年10月26日通过省级关停验收。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在保障电力热力稳定接续供应的前提下，持续推进煤电行业转型升级。2024年完成微山湖热电1号机组，聚源热电2号、3号机组，济三电力1号机组，国宏化工1号机组的关停退出，以及鲁泰热电3号、4号机组清洁燃料改造，太阳纸业（颜店厂区）7号机组固废综合利用改造。累计关停退出低效小煤电机组8台、26.8万千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五、验收情况</w:t>
      </w:r>
    </w:p>
    <w:p>
      <w:pPr>
        <w:wordWrap w:val="0"/>
        <w:ind w:firstLine="642" w:firstLineChars="200"/>
        <w:jc w:val="both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根据省黄河流域生态保护和高质量发展专项督察整改目标要求，第17项整改任务已全部完成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ODk5ZmM1ZWRjNTFmMjI0ZDRjOThhYzQ1NTg4NjAifQ=="/>
    <w:docVar w:name="KSO_WPS_MARK_KEY" w:val="c5a56c41-48c3-4584-a125-48cb180c2498"/>
  </w:docVars>
  <w:rsids>
    <w:rsidRoot w:val="00000000"/>
    <w:rsid w:val="2AC67F82"/>
    <w:rsid w:val="3EFE6CE1"/>
    <w:rsid w:val="419C2395"/>
    <w:rsid w:val="722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color w:val="000000" w:themeColor="text1"/>
      <w:kern w:val="2"/>
      <w:sz w:val="28"/>
      <w:szCs w:val="28"/>
      <w:u w:val="words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1122</Characters>
  <Lines>0</Lines>
  <Paragraphs>0</Paragraphs>
  <TotalTime>9</TotalTime>
  <ScaleCrop>false</ScaleCrop>
  <LinksUpToDate>false</LinksUpToDate>
  <CharactersWithSpaces>1135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2020-07-20T17:38:00Z</dcterms:created>
  <dc:creator>耿琰</dc:creator>
  <cp:lastModifiedBy>user</cp:lastModifiedBy>
  <dcterms:modified xsi:type="dcterms:W3CDTF">2025-02-11T14:42:37Z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3E7C637A358B4F88A51F42461DA583E1_12</vt:lpwstr>
  </property>
</Properties>
</file>