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济宁市光伏平价上网项目备案表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24"/>
        </w:rPr>
        <w:t>填报单位（公章）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：                                                       </w:t>
      </w:r>
      <w:r>
        <w:rPr>
          <w:rFonts w:hint="eastAsia" w:ascii="宋体" w:hAnsi="宋体" w:cs="方正小标宋简体"/>
          <w:sz w:val="24"/>
        </w:rPr>
        <w:t xml:space="preserve">填报日期：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52"/>
        <w:gridCol w:w="2156"/>
        <w:gridCol w:w="1027"/>
        <w:gridCol w:w="1144"/>
        <w:gridCol w:w="2775"/>
        <w:gridCol w:w="1219"/>
        <w:gridCol w:w="1387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7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项目单位</w:t>
            </w:r>
          </w:p>
        </w:tc>
        <w:tc>
          <w:tcPr>
            <w:tcW w:w="4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装机容量（KW）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确认时间（年/月/日）</w:t>
            </w: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956" w:type="dxa"/>
            <w:vMerge w:val="continue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vMerge w:val="continue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县(市、区)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乡镇(街道)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1219" w:type="dxa"/>
            <w:vMerge w:val="continue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8" w:type="dxa"/>
            <w:vMerge w:val="continue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320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0644"/>
    <w:rsid w:val="54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2020-04-13T07:16:00Z</dcterms:created>
  <dc:creator>Administrator</dc:creator>
  <cp:lastModifiedBy>Administrator</cp:lastModifiedBy>
  <dcterms:modified xsi:type="dcterms:W3CDTF">2020-04-13T07:17:30Z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